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5425" w:rsidRPr="002430E5" w:rsidRDefault="00125425" w:rsidP="002430E5">
      <w:pPr>
        <w:shd w:val="clear" w:color="auto" w:fill="FFFFFF"/>
        <w:spacing w:before="100" w:beforeAutospacing="1" w:after="100" w:afterAutospacing="1"/>
        <w:outlineLvl w:val="1"/>
        <w:rPr>
          <w:rFonts w:ascii="Arial" w:eastAsia="Times New Roman" w:hAnsi="Arial" w:cs="Arial"/>
          <w:b/>
          <w:bCs/>
          <w:sz w:val="42"/>
          <w:szCs w:val="42"/>
        </w:rPr>
      </w:pPr>
      <w:r w:rsidRPr="002430E5">
        <w:rPr>
          <w:rFonts w:ascii="Arial" w:eastAsia="Times New Roman" w:hAnsi="Arial" w:cs="Arial"/>
          <w:b/>
          <w:bCs/>
          <w:iCs/>
          <w:sz w:val="42"/>
          <w:szCs w:val="42"/>
        </w:rPr>
        <w:t>Tracy Research Technical Report Abstract</w:t>
      </w:r>
    </w:p>
    <w:p w:rsidR="002430E5" w:rsidRPr="002430E5" w:rsidRDefault="00915B4D" w:rsidP="004B1CEF">
      <w:pPr>
        <w:pStyle w:val="vi-bullets"/>
        <w:rPr>
          <w:shd w:val="clear" w:color="auto" w:fill="FFFFFF"/>
        </w:rPr>
      </w:pPr>
      <w:r>
        <w:rPr>
          <w:b/>
          <w:i/>
          <w:shd w:val="clear" w:color="auto" w:fill="FFFFFF"/>
        </w:rPr>
        <w:t>Technical Bulletin 2014-</w:t>
      </w:r>
      <w:r w:rsidR="00F53E79">
        <w:rPr>
          <w:b/>
          <w:i/>
          <w:shd w:val="clear" w:color="auto" w:fill="FFFFFF"/>
        </w:rPr>
        <w:t>1</w:t>
      </w:r>
      <w:r w:rsidR="002430E5">
        <w:rPr>
          <w:shd w:val="clear" w:color="auto" w:fill="FFFFFF"/>
        </w:rPr>
        <w:br/>
      </w:r>
      <w:r w:rsidR="00F53E79" w:rsidRPr="00F53E79">
        <w:t xml:space="preserve">Zachary A. </w:t>
      </w:r>
      <w:proofErr w:type="spellStart"/>
      <w:r w:rsidR="00F53E79" w:rsidRPr="00F53E79">
        <w:t>Sutphin</w:t>
      </w:r>
      <w:proofErr w:type="spellEnd"/>
      <w:r w:rsidR="00F53E79" w:rsidRPr="00F53E79">
        <w:t xml:space="preserve"> and Connie Svoboda.  2014.  </w:t>
      </w:r>
      <w:bookmarkStart w:id="0" w:name="_GoBack"/>
      <w:r w:rsidR="00F53E79" w:rsidRPr="007A7F0A">
        <w:rPr>
          <w:i/>
        </w:rPr>
        <w:t>Effects of Life-Stage and Origin (Wild or Hatchery) on Delta Smelt Secondary Channel Efficiency at the T</w:t>
      </w:r>
      <w:r w:rsidR="007A7F0A" w:rsidRPr="007A7F0A">
        <w:rPr>
          <w:i/>
        </w:rPr>
        <w:t>racy Fish Collection Facility.</w:t>
      </w:r>
      <w:bookmarkEnd w:id="0"/>
      <w:r w:rsidR="007A7F0A">
        <w:t xml:space="preserve"> August 2014. </w:t>
      </w:r>
      <w:r w:rsidR="00F53E79" w:rsidRPr="00F53E79">
        <w:t>25 pp.</w:t>
      </w:r>
    </w:p>
    <w:p w:rsidR="003F186E" w:rsidRDefault="00F53E79" w:rsidP="004B1CEF">
      <w:r w:rsidRPr="00F53E79">
        <w:t>Operations at the Bureau of Reclamation’s Tracy Fish Collection Facility (TFCF) function to salvage fish, preventing pump-induced mortality at Bill Jones Pumping Plant.  Operations and hydraulic conditions at the TFCF are frequently evaluated to promote optimal conditions for fish salvage. Due to low wild population levels of delta smelt, data collection efforts undertaken to evaluate effects of TFCF operations on salvage efficiency have historically relied on mark and recapture experiments with hatchery delta smelt.  Experiments were undertaken in 2002 to evaluate effects of life-stage (adult or juvenile) and origin (wild or hatchery) on delta smelt secondary channel louver efficiency (SLE) at the TFCF.  There was no significant difference in SLE of hatchery juvenile delta smelt (mean ± SE = 87.5 ± 1.7%; n = 30) and wild juvenile delta smelt (90.9 ± 2.4%; n = 7), or hatchery adult smelt (96.2 ± 0.9%; n = 30) and wild juvenile smelt (ANOVA on Ranks, P &gt; 0.05).  However, SLE of hatchery adult and juvenile fish were significantly different (ANOVA on Ranks, P &lt;0.05).  There was no significant difference in secondary louver participation (SLP) of hatchery adult (74.2 ± 4.6%) and juvenile (82.6 ± 4.3%) delta smelt (Mann-Whitney Rank Sum, P &gt; 0.05).  There was no significant relationship between SLE and either secondary channel velocity or bypass ratio for either life-stage of delta smelt tested (PCC, P &gt; 0.05).  Though a low sample size for wild juvenile delta smelt was collected (n = 7), this suggests hatchery delta smelt may serve as a surrogate for wild smelt.</w:t>
      </w:r>
    </w:p>
    <w:sectPr w:rsidR="003F186E" w:rsidSect="002430E5">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432"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430E5" w:rsidRDefault="002430E5" w:rsidP="002430E5">
      <w:pPr>
        <w:spacing w:after="0"/>
      </w:pPr>
      <w:r>
        <w:separator/>
      </w:r>
    </w:p>
  </w:endnote>
  <w:endnote w:type="continuationSeparator" w:id="0">
    <w:p w:rsidR="002430E5" w:rsidRDefault="002430E5" w:rsidP="002430E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7C88" w:rsidRDefault="00507C8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7C88" w:rsidRDefault="00507C8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7C88" w:rsidRDefault="00507C8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430E5" w:rsidRDefault="002430E5" w:rsidP="002430E5">
      <w:pPr>
        <w:spacing w:after="0"/>
      </w:pPr>
      <w:r>
        <w:separator/>
      </w:r>
    </w:p>
  </w:footnote>
  <w:footnote w:type="continuationSeparator" w:id="0">
    <w:p w:rsidR="002430E5" w:rsidRDefault="002430E5" w:rsidP="002430E5">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7C88" w:rsidRDefault="00507C8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30E5" w:rsidRDefault="002430E5" w:rsidP="00507C88">
    <w:pPr>
      <w:pStyle w:val="Header"/>
      <w:tabs>
        <w:tab w:val="clear" w:pos="9360"/>
      </w:tabs>
      <w:ind w:left="-1080" w:right="-1080"/>
    </w:pPr>
    <w:r>
      <w:rPr>
        <w:noProof/>
      </w:rPr>
      <w:drawing>
        <wp:inline distT="0" distB="0" distL="0" distR="0" wp14:anchorId="3C8B249F" wp14:editId="4108CC64">
          <wp:extent cx="7302717" cy="685800"/>
          <wp:effectExtent l="0" t="0" r="0" b="0"/>
          <wp:docPr id="1" name="Picture 1" descr="noninteractive image - Reclamation banner, reading Reclamation, Managing Water in the West, U.S. Department of the Interior, Bureau of Recla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ner_for_docs.jpg"/>
                  <pic:cNvPicPr/>
                </pic:nvPicPr>
                <pic:blipFill>
                  <a:blip r:embed="rId1">
                    <a:extLst>
                      <a:ext uri="{28A0092B-C50C-407E-A947-70E740481C1C}">
                        <a14:useLocalDpi xmlns:a14="http://schemas.microsoft.com/office/drawing/2010/main" val="0"/>
                      </a:ext>
                    </a:extLst>
                  </a:blip>
                  <a:stretch>
                    <a:fillRect/>
                  </a:stretch>
                </pic:blipFill>
                <pic:spPr>
                  <a:xfrm>
                    <a:off x="0" y="0"/>
                    <a:ext cx="7315251" cy="686977"/>
                  </a:xfrm>
                  <a:prstGeom prst="rect">
                    <a:avLst/>
                  </a:prstGeom>
                </pic:spPr>
              </pic:pic>
            </a:graphicData>
          </a:graphic>
        </wp:inline>
      </w:drawing>
    </w:r>
    <w:r w:rsidR="00507C88">
      <w:br/>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7C88" w:rsidRDefault="00507C8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BC47D9"/>
    <w:multiLevelType w:val="hybridMultilevel"/>
    <w:tmpl w:val="330226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30E39C8"/>
    <w:multiLevelType w:val="hybridMultilevel"/>
    <w:tmpl w:val="9A923E04"/>
    <w:lvl w:ilvl="0" w:tplc="ADECE6B4">
      <w:start w:val="1"/>
      <w:numFmt w:val="decimal"/>
      <w:pStyle w:val="vi-numberedlistlastline"/>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4FB0BF8"/>
    <w:multiLevelType w:val="hybridMultilevel"/>
    <w:tmpl w:val="A9769AAE"/>
    <w:lvl w:ilvl="0" w:tplc="22D6BCAA">
      <w:start w:val="1"/>
      <w:numFmt w:val="bullet"/>
      <w:pStyle w:val="vi-bullets"/>
      <w:lvlText w:val=""/>
      <w:lvlJc w:val="left"/>
      <w:pPr>
        <w:ind w:left="720" w:hanging="360"/>
      </w:pPr>
      <w:rPr>
        <w:rFonts w:ascii="Symbol" w:hAnsi="Symbol" w:hint="default"/>
      </w:rPr>
    </w:lvl>
    <w:lvl w:ilvl="1" w:tplc="7DD6DF8A">
      <w:start w:val="1"/>
      <w:numFmt w:val="bullet"/>
      <w:pStyle w:val="vi-bulletssecondindent"/>
      <w:lvlText w:val="o"/>
      <w:lvlJc w:val="left"/>
      <w:pPr>
        <w:ind w:left="1440" w:hanging="360"/>
      </w:pPr>
      <w:rPr>
        <w:rFonts w:ascii="Courier New" w:hAnsi="Courier New" w:cs="Courier New" w:hint="default"/>
      </w:rPr>
    </w:lvl>
    <w:lvl w:ilvl="2" w:tplc="343C5BDA">
      <w:start w:val="1"/>
      <w:numFmt w:val="bullet"/>
      <w:pStyle w:val="vi-bulletsthirdinden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1"/>
  </w:num>
  <w:num w:numId="4">
    <w:abstractNumId w:val="2"/>
  </w:num>
  <w:num w:numId="5">
    <w:abstractNumId w:val="2"/>
  </w:num>
  <w:num w:numId="6">
    <w:abstractNumId w:val="2"/>
  </w:num>
  <w:num w:numId="7">
    <w:abstractNumId w:val="2"/>
  </w:num>
  <w:num w:numId="8">
    <w:abstractNumId w:val="2"/>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8"/>
  <w:proofState w:spelling="clean" w:grammar="clean"/>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5425"/>
    <w:rsid w:val="00032A12"/>
    <w:rsid w:val="000D6790"/>
    <w:rsid w:val="00110923"/>
    <w:rsid w:val="00117B68"/>
    <w:rsid w:val="00125425"/>
    <w:rsid w:val="002430E5"/>
    <w:rsid w:val="002B18D9"/>
    <w:rsid w:val="003F186E"/>
    <w:rsid w:val="004B1CEF"/>
    <w:rsid w:val="004E67F1"/>
    <w:rsid w:val="00507C88"/>
    <w:rsid w:val="0055387E"/>
    <w:rsid w:val="00646A1D"/>
    <w:rsid w:val="00696009"/>
    <w:rsid w:val="006A63BD"/>
    <w:rsid w:val="007A7F0A"/>
    <w:rsid w:val="0083782C"/>
    <w:rsid w:val="00915B4D"/>
    <w:rsid w:val="009272AD"/>
    <w:rsid w:val="00935DCD"/>
    <w:rsid w:val="00BD01AC"/>
    <w:rsid w:val="00CC63BA"/>
    <w:rsid w:val="00DD78F2"/>
    <w:rsid w:val="00E14EFC"/>
    <w:rsid w:val="00E651E6"/>
    <w:rsid w:val="00F53E79"/>
    <w:rsid w:val="00FC78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5:docId w15:val="{71EC116C-3C7A-4678-B63B-4274422C8D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1CEF"/>
    <w:pPr>
      <w:spacing w:after="240" w:line="240" w:lineRule="auto"/>
    </w:pPr>
    <w:rPr>
      <w:rFonts w:ascii="Times New Roman" w:hAnsi="Times New Roman"/>
      <w:sz w:val="24"/>
    </w:rPr>
  </w:style>
  <w:style w:type="paragraph" w:styleId="Heading1">
    <w:name w:val="heading 1"/>
    <w:basedOn w:val="Normal"/>
    <w:next w:val="Normal"/>
    <w:link w:val="Heading1Char"/>
    <w:uiPriority w:val="9"/>
    <w:qFormat/>
    <w:rsid w:val="002430E5"/>
    <w:pPr>
      <w:keepNext/>
      <w:keepLines/>
      <w:spacing w:before="480" w:after="0"/>
      <w:outlineLvl w:val="0"/>
    </w:pPr>
    <w:rPr>
      <w:rFonts w:ascii="Arial" w:eastAsiaTheme="majorEastAsia" w:hAnsi="Arial" w:cstheme="majorBidi"/>
      <w:b/>
      <w:bCs/>
      <w:sz w:val="30"/>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35DCD"/>
    <w:rPr>
      <w:color w:val="0000FF" w:themeColor="hyperlink"/>
      <w:u w:val="single"/>
    </w:rPr>
  </w:style>
  <w:style w:type="paragraph" w:styleId="Header">
    <w:name w:val="header"/>
    <w:basedOn w:val="Normal"/>
    <w:link w:val="HeaderChar"/>
    <w:uiPriority w:val="99"/>
    <w:unhideWhenUsed/>
    <w:rsid w:val="002430E5"/>
    <w:pPr>
      <w:tabs>
        <w:tab w:val="center" w:pos="4680"/>
        <w:tab w:val="right" w:pos="9360"/>
      </w:tabs>
      <w:spacing w:after="0"/>
    </w:pPr>
  </w:style>
  <w:style w:type="character" w:customStyle="1" w:styleId="HeaderChar">
    <w:name w:val="Header Char"/>
    <w:basedOn w:val="DefaultParagraphFont"/>
    <w:link w:val="Header"/>
    <w:uiPriority w:val="99"/>
    <w:rsid w:val="002430E5"/>
  </w:style>
  <w:style w:type="paragraph" w:styleId="Footer">
    <w:name w:val="footer"/>
    <w:basedOn w:val="Normal"/>
    <w:link w:val="FooterChar"/>
    <w:uiPriority w:val="99"/>
    <w:unhideWhenUsed/>
    <w:rsid w:val="002430E5"/>
    <w:pPr>
      <w:tabs>
        <w:tab w:val="center" w:pos="4680"/>
        <w:tab w:val="right" w:pos="9360"/>
      </w:tabs>
      <w:spacing w:after="0"/>
    </w:pPr>
  </w:style>
  <w:style w:type="character" w:customStyle="1" w:styleId="FooterChar">
    <w:name w:val="Footer Char"/>
    <w:basedOn w:val="DefaultParagraphFont"/>
    <w:link w:val="Footer"/>
    <w:uiPriority w:val="99"/>
    <w:rsid w:val="002430E5"/>
  </w:style>
  <w:style w:type="paragraph" w:styleId="BalloonText">
    <w:name w:val="Balloon Text"/>
    <w:basedOn w:val="Normal"/>
    <w:link w:val="BalloonTextChar"/>
    <w:uiPriority w:val="99"/>
    <w:semiHidden/>
    <w:unhideWhenUsed/>
    <w:rsid w:val="002430E5"/>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30E5"/>
    <w:rPr>
      <w:rFonts w:ascii="Tahoma" w:hAnsi="Tahoma" w:cs="Tahoma"/>
      <w:sz w:val="16"/>
      <w:szCs w:val="16"/>
    </w:rPr>
  </w:style>
  <w:style w:type="character" w:customStyle="1" w:styleId="Heading1Char">
    <w:name w:val="Heading 1 Char"/>
    <w:basedOn w:val="DefaultParagraphFont"/>
    <w:link w:val="Heading1"/>
    <w:uiPriority w:val="9"/>
    <w:rsid w:val="002430E5"/>
    <w:rPr>
      <w:rFonts w:ascii="Arial" w:eastAsiaTheme="majorEastAsia" w:hAnsi="Arial" w:cstheme="majorBidi"/>
      <w:b/>
      <w:bCs/>
      <w:sz w:val="30"/>
      <w:szCs w:val="28"/>
    </w:rPr>
  </w:style>
  <w:style w:type="paragraph" w:styleId="ListParagraph">
    <w:name w:val="List Paragraph"/>
    <w:basedOn w:val="Normal"/>
    <w:uiPriority w:val="34"/>
    <w:qFormat/>
    <w:rsid w:val="002430E5"/>
    <w:pPr>
      <w:ind w:left="720"/>
      <w:contextualSpacing/>
    </w:pPr>
  </w:style>
  <w:style w:type="paragraph" w:customStyle="1" w:styleId="vi-numberedlistlastline">
    <w:name w:val="vi-numbered list last line"/>
    <w:basedOn w:val="Normal"/>
    <w:qFormat/>
    <w:rsid w:val="004B1CEF"/>
    <w:pPr>
      <w:keepNext/>
      <w:keepLines/>
      <w:numPr>
        <w:numId w:val="3"/>
      </w:numPr>
      <w:outlineLvl w:val="0"/>
    </w:pPr>
    <w:rPr>
      <w:rFonts w:eastAsiaTheme="majorEastAsia" w:cstheme="majorBidi"/>
      <w:bCs/>
      <w:szCs w:val="24"/>
    </w:rPr>
  </w:style>
  <w:style w:type="paragraph" w:customStyle="1" w:styleId="vinumberedlist">
    <w:name w:val="vi numbered list"/>
    <w:basedOn w:val="vi-numberedlistlastline"/>
    <w:qFormat/>
    <w:rsid w:val="004B1CEF"/>
    <w:pPr>
      <w:spacing w:after="120"/>
    </w:pPr>
  </w:style>
  <w:style w:type="paragraph" w:customStyle="1" w:styleId="vi-bodytextaftertable">
    <w:name w:val="vi-body text after table"/>
    <w:basedOn w:val="Normal"/>
    <w:qFormat/>
    <w:rsid w:val="004B1CEF"/>
    <w:pPr>
      <w:keepNext/>
      <w:keepLines/>
      <w:spacing w:before="240"/>
      <w:outlineLvl w:val="0"/>
    </w:pPr>
    <w:rPr>
      <w:rFonts w:eastAsiaTheme="majorEastAsia" w:cstheme="majorBidi"/>
      <w:bCs/>
      <w:szCs w:val="24"/>
    </w:rPr>
  </w:style>
  <w:style w:type="paragraph" w:customStyle="1" w:styleId="vi-bodytextbold">
    <w:name w:val="vi-body text bold"/>
    <w:basedOn w:val="Normal"/>
    <w:qFormat/>
    <w:rsid w:val="004B1CEF"/>
    <w:pPr>
      <w:keepNext/>
      <w:keepLines/>
      <w:outlineLvl w:val="0"/>
    </w:pPr>
    <w:rPr>
      <w:rFonts w:eastAsiaTheme="majorEastAsia" w:cstheme="majorBidi"/>
      <w:b/>
      <w:bCs/>
      <w:szCs w:val="24"/>
    </w:rPr>
  </w:style>
  <w:style w:type="paragraph" w:customStyle="1" w:styleId="vi-bullets">
    <w:name w:val="vi-bullets"/>
    <w:basedOn w:val="Normal"/>
    <w:qFormat/>
    <w:rsid w:val="004B1CEF"/>
    <w:pPr>
      <w:keepNext/>
      <w:keepLines/>
      <w:numPr>
        <w:numId w:val="9"/>
      </w:numPr>
      <w:spacing w:after="120"/>
      <w:outlineLvl w:val="0"/>
    </w:pPr>
    <w:rPr>
      <w:rFonts w:eastAsiaTheme="majorEastAsia" w:cstheme="majorBidi"/>
      <w:bCs/>
      <w:szCs w:val="24"/>
    </w:rPr>
  </w:style>
  <w:style w:type="paragraph" w:customStyle="1" w:styleId="vi-bulletsaftertable">
    <w:name w:val="vi-bullets after table"/>
    <w:basedOn w:val="vi-bullets"/>
    <w:qFormat/>
    <w:rsid w:val="004B1CEF"/>
    <w:pPr>
      <w:keepNext w:val="0"/>
      <w:keepLines w:val="0"/>
      <w:numPr>
        <w:numId w:val="0"/>
      </w:numPr>
      <w:spacing w:before="240"/>
    </w:pPr>
  </w:style>
  <w:style w:type="paragraph" w:customStyle="1" w:styleId="vi-bulletslastline">
    <w:name w:val="vi-bullets last line"/>
    <w:basedOn w:val="vi-bullets"/>
    <w:qFormat/>
    <w:rsid w:val="004B1CEF"/>
    <w:pPr>
      <w:spacing w:after="240"/>
    </w:pPr>
  </w:style>
  <w:style w:type="paragraph" w:customStyle="1" w:styleId="vi-bulletssecondindent">
    <w:name w:val="vi-bullets second indent"/>
    <w:basedOn w:val="vi-bullets"/>
    <w:rsid w:val="004B1CEF"/>
    <w:pPr>
      <w:numPr>
        <w:ilvl w:val="1"/>
      </w:numPr>
    </w:pPr>
  </w:style>
  <w:style w:type="paragraph" w:customStyle="1" w:styleId="vi-bulletssecondindentlastline">
    <w:name w:val="vi-bullets second indent last line"/>
    <w:basedOn w:val="vi-bulletssecondindent"/>
    <w:qFormat/>
    <w:rsid w:val="004B1CEF"/>
    <w:pPr>
      <w:spacing w:after="240"/>
      <w:ind w:left="1080"/>
    </w:pPr>
  </w:style>
  <w:style w:type="paragraph" w:customStyle="1" w:styleId="vi-bulletsthirdindent">
    <w:name w:val="vi-bullets third indent"/>
    <w:basedOn w:val="vi-bulletssecondindent"/>
    <w:qFormat/>
    <w:rsid w:val="004B1CEF"/>
    <w:pPr>
      <w:numPr>
        <w:ilvl w:val="2"/>
      </w:numPr>
    </w:pPr>
  </w:style>
  <w:style w:type="paragraph" w:customStyle="1" w:styleId="vi-bulletsthirdindentlastline">
    <w:name w:val="vi-bullets third indent last line"/>
    <w:basedOn w:val="vi-bulletsthirdindent"/>
    <w:qFormat/>
    <w:rsid w:val="004B1CEF"/>
    <w:pPr>
      <w:spacing w:after="240"/>
      <w:ind w:left="1440"/>
    </w:pPr>
  </w:style>
  <w:style w:type="paragraph" w:customStyle="1" w:styleId="vi-caption">
    <w:name w:val="vi-caption"/>
    <w:basedOn w:val="Normal"/>
    <w:qFormat/>
    <w:rsid w:val="004B1CEF"/>
    <w:rPr>
      <w:rFonts w:ascii="Arial" w:eastAsia="Times New Roman" w:hAnsi="Arial" w:cs="Arial"/>
      <w:noProof/>
      <w:sz w:val="20"/>
      <w:szCs w:val="20"/>
    </w:rPr>
  </w:style>
  <w:style w:type="paragraph" w:customStyle="1" w:styleId="vi-contact">
    <w:name w:val="vi-contact"/>
    <w:basedOn w:val="Normal"/>
    <w:qFormat/>
    <w:rsid w:val="004B1CEF"/>
    <w:pPr>
      <w:keepNext/>
      <w:keepLines/>
      <w:spacing w:before="160"/>
      <w:outlineLvl w:val="0"/>
    </w:pPr>
    <w:rPr>
      <w:rFonts w:ascii="Arial" w:eastAsiaTheme="majorEastAsia" w:hAnsi="Arial" w:cstheme="majorBidi"/>
      <w:b/>
      <w:bCs/>
      <w:szCs w:val="24"/>
    </w:rPr>
  </w:style>
  <w:style w:type="paragraph" w:customStyle="1" w:styleId="vi-heading1">
    <w:name w:val="vi-heading 1"/>
    <w:basedOn w:val="Normal"/>
    <w:qFormat/>
    <w:rsid w:val="004B1CEF"/>
    <w:pPr>
      <w:keepNext/>
      <w:keepLines/>
      <w:outlineLvl w:val="0"/>
    </w:pPr>
    <w:rPr>
      <w:rFonts w:ascii="Arial" w:eastAsiaTheme="majorEastAsia" w:hAnsi="Arial" w:cs="Arial"/>
      <w:b/>
      <w:bCs/>
      <w:noProof/>
      <w:sz w:val="42"/>
      <w:szCs w:val="30"/>
    </w:rPr>
  </w:style>
  <w:style w:type="paragraph" w:customStyle="1" w:styleId="vi-heading2">
    <w:name w:val="vi-heading 2"/>
    <w:basedOn w:val="vi-heading1"/>
    <w:qFormat/>
    <w:rsid w:val="004B1CEF"/>
    <w:rPr>
      <w:sz w:val="30"/>
      <w:szCs w:val="24"/>
    </w:rPr>
  </w:style>
  <w:style w:type="paragraph" w:customStyle="1" w:styleId="vi-heading3">
    <w:name w:val="vi-heading 3"/>
    <w:basedOn w:val="vi-heading1"/>
    <w:qFormat/>
    <w:rsid w:val="004B1CEF"/>
    <w:pPr>
      <w:spacing w:after="0"/>
    </w:pPr>
    <w:rPr>
      <w:sz w:val="24"/>
      <w:szCs w:val="22"/>
    </w:rPr>
  </w:style>
  <w:style w:type="paragraph" w:customStyle="1" w:styleId="vi-heading4">
    <w:name w:val="vi-heading 4"/>
    <w:basedOn w:val="vi-heading3"/>
    <w:qFormat/>
    <w:rsid w:val="004B1CEF"/>
    <w:rPr>
      <w:i/>
      <w:sz w:val="22"/>
    </w:rPr>
  </w:style>
  <w:style w:type="paragraph" w:customStyle="1" w:styleId="vi-tableheading">
    <w:name w:val="vi-table heading"/>
    <w:basedOn w:val="Normal"/>
    <w:qFormat/>
    <w:rsid w:val="004B1CEF"/>
    <w:pPr>
      <w:spacing w:before="40" w:after="40"/>
      <w:jc w:val="center"/>
    </w:pPr>
    <w:rPr>
      <w:rFonts w:ascii="Arial" w:eastAsia="Arial" w:hAnsi="Arial" w:cs="Arial"/>
      <w:b/>
      <w:sz w:val="20"/>
    </w:rPr>
  </w:style>
  <w:style w:type="paragraph" w:customStyle="1" w:styleId="vi-tableheadingleft">
    <w:name w:val="vi-table heading left"/>
    <w:basedOn w:val="vi-tableheading"/>
    <w:qFormat/>
    <w:rsid w:val="004B1CEF"/>
    <w:pPr>
      <w:jc w:val="left"/>
    </w:pPr>
  </w:style>
  <w:style w:type="paragraph" w:customStyle="1" w:styleId="vi-tabletextcenter">
    <w:name w:val="vi-table text center"/>
    <w:basedOn w:val="Normal"/>
    <w:qFormat/>
    <w:rsid w:val="004B1CEF"/>
    <w:pPr>
      <w:spacing w:before="40" w:after="40"/>
      <w:jc w:val="center"/>
    </w:pPr>
    <w:rPr>
      <w:rFonts w:ascii="Arial" w:eastAsia="Arial" w:hAnsi="Arial" w:cs="Arial"/>
      <w:sz w:val="18"/>
    </w:rPr>
  </w:style>
  <w:style w:type="paragraph" w:customStyle="1" w:styleId="vi-tabletextleftmargin">
    <w:name w:val="vi-table text left margin"/>
    <w:basedOn w:val="vi-tabletextcenter"/>
    <w:qFormat/>
    <w:rsid w:val="004B1CEF"/>
    <w:pPr>
      <w:jc w:val="left"/>
    </w:pPr>
  </w:style>
  <w:style w:type="paragraph" w:customStyle="1" w:styleId="vi-tabletitle">
    <w:name w:val="vi-table title"/>
    <w:basedOn w:val="vi-bullets"/>
    <w:qFormat/>
    <w:rsid w:val="004B1CEF"/>
    <w:pPr>
      <w:numPr>
        <w:numId w:val="0"/>
      </w:numPr>
    </w:pPr>
    <w:rPr>
      <w:rFonts w:ascii="Arial"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276</Words>
  <Characters>1578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Tracy Technical Bulletin 2014-1</vt:lpstr>
    </vt:vector>
  </TitlesOfParts>
  <Company>Reclamation</Company>
  <LinksUpToDate>false</LinksUpToDate>
  <CharactersWithSpaces>1851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Tracy Report Abstract, Tracy Tech Bulletin, 2014-1</dc:title>
  <dc:subject>Tracy Report Abstract, Tracy Tech Bulletin, 2014-1</dc:subject>
  <dc:creator>JCDealy</dc:creator>
  <cp:lastModifiedBy>Savignano, Diana L</cp:lastModifiedBy>
  <cp:revision>10</cp:revision>
  <dcterms:created xsi:type="dcterms:W3CDTF">2017-01-10T21:52:00Z</dcterms:created>
  <dcterms:modified xsi:type="dcterms:W3CDTF">2017-09-28T23:53:00Z</dcterms:modified>
</cp:coreProperties>
</file>